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178</w:t>
      </w:r>
    </w:p>
    <w:p>
      <w:r>
        <w:t>Bundesgericht (BGE), 1981-12-09, DE</w:t>
      </w:r>
    </w:p>
    <w:p>
      <w:r>
        <w:rPr>
          <w:b/>
        </w:rPr>
        <w:t xml:space="preserve">Quelle: </w:t>
      </w:r>
      <w:r>
        <w:t>https://mcp.opencaselaw.ch/entscheid/bge_107 IV 178</w:t>
      </w:r>
    </w:p>
    <w:p>
      <w:r>
        <w:t>FR: ATF 107 IV 178</w:t>
      </w:r>
    </w:p>
    <w:p>
      <w:r>
        <w:t>IT: DTF 107 IV 178</w:t>
      </w:r>
    </w:p>
    <w:p>
      <w:pPr>
        <w:pStyle w:val="Heading2"/>
      </w:pPr>
      <w:r>
        <w:t>Regeste</w:t>
      </w:r>
    </w:p>
    <w:p>
      <w:r>
        <w:t>Regeste Art. 187 Abs. 2 StGB. Sofern die Frau bei klarem Bewusstsein am Widerstand gehindert wird, muss dem Täter auch während der Unzuchtshandlung die Herrschaft über sein Zwangsmittel verbleiben. Als solches kommt alles in Frage, was geeignet ist, beim Opfer den Zustand der Widerstandsunfähigkeit hervorzurufen.</w:t>
      </w:r>
    </w:p>
    <w:p>
      <w:pPr>
        <w:pStyle w:val="Heading2"/>
      </w:pPr>
      <w:r>
        <w:t>Erwägungen</w:t>
      </w:r>
    </w:p>
    <w:p>
      <w:r>
        <w:rPr>
          <w:b/>
        </w:rPr>
        <w:t>E. 2</w:t>
      </w:r>
    </w:p>
    <w:p>
      <w:r>
        <w:t>Der Beschwerdeführer macht geltend, beide kantonalen Instanzen hätten zu Unrecht das zum Tatbestand des Art. 187 Abs. 2 StGB gehörende Merkmal der Widerstandsunfähigkeit angenommen, ungeachtet des von der Praxis für die Annahme dieses qualifizierten Notzuchtstatbestandes angelegten sehr strengen Massstabes. So fehle es im gegebenen Falle an einer BGE 107 IV 178 S. 180 kontinuierlichen Gewaltanwendung, der sich das Opfer habe beugen müssen, und an einer direkten, unmittelbaren Einwirkung, die ein Sich-zur-Wehr-setzen des Opfers ausgeschlossen hätte. a) Notzucht im Sinne von Art. 187 Abs. 2 StGB setzt nach der bundesgerichtlichen Rechtsprechung voraus, dass der Täter, bevor er an der Frau den Beischlaf vollzieht, sie zu diesem Zwecke in einen Zustand der Bewusstlosigkeit oder der vollständigen Widerstandsunfähigkeit versetzt hat. Der Grund für das hohe Strafminimum von drei Jahren Zuchthaus, das Art. 187 Abs. 2 StGB vorsieht, liegt in der besonders verwerflichen Gesinnung des Täters, die dadurch zum Ausdruck kommt, dass er sich vornimmt, zuerst eine Frau gegen ihren Willen wehrlos zu machen, um sie hernach ohne deren Widerstand missbrauchen zu können ( BGE 89 IV 90 ). Während nach Abs. 1 des Art. 187 StGB der ausgeübte Zwang nur die Wirkung haben muss, dass die Frau auf den körperlichen Widerstand, dessen sie fähig wäre, ganz oder teilweise verzichtet, schaltet der Täter nach Abs. 2 ihre Widerstandsfähigkeit zum vorneherein völlig aus und verunmöglicht, dass sie einen Abwehrwillen hat oder ihn wirksam betätigen kann. In BGE 98 IV 100 E. a wird sodann festgehalten, dass nicht nur jene Frau zum Widerstand unfähig im Sinne von Art. 187 Abs. 2 StGB ist, welche aus körperlichen oder seelischen Gründen überhaupt keinen Willen mehr hat oder ihn nicht äussern kann (z.B. Bewusstlosigkeit), sondern auch jene, deren physische Widerstandskräfte durch gewaltmässige Einwirkung lahmgelegt sind. Der Widerstandswille kann danach bei Art. 187 Abs. 2 StGB noch vorhanden sein, sofern die Frau bei klarem Bewusstsein (wie etwa durch Fesseln) am Widerstand gehindert wird. Damit diese Wirkung auch während der Unzuchtshandlung des Täters andauert, bedarf es aber offensichtlich der anhaltenden Gewaltanwendung (z.B. der fortgesetzten Fesselung), die allein bewirkt, dass die gegebenenfalls noch vorhandenen physischen Abwehrkräfte der Frau nicht aktiv werden ( BGE 98 IV 102 ). Nicht anders kann es sich verhalten, wenn der Täter sein Opfer in einer Weise bedroht, dass es widerstandsunfähig ist. Auch hier muss dieser Zustand während der Unzuchtshandlung andauern; dem Täter muss die Herrschaft über sein Zwangsmittel verbleiben. Massgebend für die Anwendung von Art. 187 Abs. 2 StGB ist demzufolge der vom Täter bei seinem Opfer herbeigeführte Zustand der Wehrlosigkeit, wobei als Begehungsmittel alles in Frage kommt, was geeignet ist, beim Opfer den Zustand der Widerstandsunfähigkeit hervorzurufen (MESSMER, BGE 107 IV 178 S. 181 Die Notzucht im schweizerischen Strafrecht, Diss. Zürich 1950, S. 54/55). Bei wiederholten Unzuchtshandlungen kann zwischen den jeweiligen sexuellen Handlungen des Täters die Widerstandsunfähigkeit infolge der Gewaltanwendung oder anderer Begehungsmittel unterbrochen sein; der Täter muss aber, um auch für die nachfolgenden inkriminierten Handlungen den Tatbestand von Art. 187 Abs. 2 StGB zu erfüllen, die Widerstandsunfähigkeit erneut herbeiführen. b) Nach den verbindlichen Feststellungen der Vorinstanz wurde das mit Küchenmesser, Pistole und Würgen angegriffene und bedrohte Opfer derart eingeschüchtert, dass es sich von R. missbrauchen und zu den von ihm verlangten Perversitäten bestimmen liess. Dass es sich zwischen den einzelnen Notzuchtshandlungen in der abgeschlossenen Wohnung den Umständen entsprechend frei bewegen konnte, ändert an der Widerstandsunfähigkeit im Zeitpunkt der sexuellen Handlungen nichts; X. war R. jeweils vollständig ausgeliefert. Dieser bezweckte und erreichte mit der Verwendung der von ihm gewählten Zwangsmittel die widerstandslose Ausführung bzw. Duldung der von ihm begehrten und schliesslich vollzogenen Unzuchtshandlungen. Er hatte, wie der Tatablauf zeigt, während der Sexualakte stets die Herrschaft über die eingesetzten Mittel, deren Beschaffenheit beim Opfer die gewünschte Wirkung wie Todesangst und absolute Wehrlosigkeit zur Folge hatte. Das für die Annahme von Art. 187 Abs. 2 StGB entscheidende Tatbestandsmerkmal - der vom Täter geschaffene Zustand der Widerstandsunfähigkeit - ist demzufolge gegeben. Durch die Art der von R. verwendeten Zwangsmittel erscheint das in Art. 187 Abs. 2 StGB bestimmte Strafminimum von drei Jahren Zuchthaus im Vergleich zu jenem von fünf Jahren Zuchthaus beim qualifizierten Raub nach Art. 139 Ziff. 2 Abs. 2 (Bedrohung mit dem Tod) durchaus gerechtfertigt, besonders wenn man die zu schützenden Rechtsgüter in Betracht zieht. Die Vorinstanz hat dadurch, dass sie auf den gegebenen Sachverhalt Art. 187 Abs. 2 StGB zur Anwendung brachte,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